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1325880" cy="88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lo_CongressoInclusãoemfoco_opções_Colorid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88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  <w:jc w:val="center"/>
      </w:pPr>
      <w:r>
        <w:rPr>
          <w:rFonts w:ascii="Arial" w:hAnsi="Arial" w:eastAsia="Arial"/>
          <w:b/>
          <w:i w:val="0"/>
          <w:color w:val="22365D"/>
          <w:sz w:val="25"/>
        </w:rPr>
        <w:t>FORMULÁRIO DE INSCRIÇÃO – MINICURSOS</w:t>
      </w:r>
    </w:p>
    <w:p>
      <w:pPr>
        <w:spacing w:after="60"/>
        <w:jc w:val="center"/>
      </w:pPr>
      <w:r>
        <w:rPr>
          <w:rFonts w:ascii="Arial" w:hAnsi="Arial" w:eastAsia="Arial"/>
          <w:b/>
          <w:i w:val="0"/>
          <w:color w:val="B36F10"/>
          <w:sz w:val="18"/>
        </w:rPr>
        <w:t>18 de novembro de 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9EADB5"/>
          <w:left w:val="single" w:sz="7" w:color="9EADB5"/>
          <w:bottom w:val="single" w:sz="7" w:color="9EADB5"/>
          <w:right w:val="single" w:sz="7" w:color="9EADB5"/>
          <w:insideH w:val="single" w:sz="7" w:color="9EADB5"/>
          <w:insideV w:val="single" w:sz="7" w:color="9EADB5"/>
        </w:tblBorders>
      </w:tblPr>
      <w:tblGrid>
        <w:gridCol w:w="5493"/>
        <w:gridCol w:w="5493"/>
      </w:tblGrid>
      <w:tr>
        <w:tc>
          <w:tcPr>
            <w:tcW w:type="dxa" w:w="5112"/>
            <w:tcMar>
              <w:top w:w="55" w:type="dxa"/>
              <w:start w:w="60" w:type="dxa"/>
              <w:bottom w:w="55" w:type="dxa"/>
              <w:end w:w="60" w:type="dxa"/>
            </w:tcMar>
            <w:shd w:fill="F4F7F7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 xml:space="preserve">Nome completo: </w:t>
            </w:r>
            <w:r>
              <w:rPr>
                <w:rFonts w:ascii="Arial" w:hAnsi="Arial" w:eastAsia="Arial"/>
                <w:b w:val="0"/>
                <w:i w:val="0"/>
                <w:color w:val="2F363B"/>
                <w:sz w:val="16"/>
              </w:rPr>
              <w:t>____________________________</w:t>
            </w:r>
          </w:p>
        </w:tc>
        <w:tc>
          <w:tcPr>
            <w:tcW w:type="dxa" w:w="5112"/>
            <w:tcMar>
              <w:top w:w="55" w:type="dxa"/>
              <w:start w:w="60" w:type="dxa"/>
              <w:bottom w:w="55" w:type="dxa"/>
              <w:end w:w="60" w:type="dxa"/>
            </w:tcMar>
            <w:shd w:fill="F4F7F7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 xml:space="preserve">E-mail: </w:t>
            </w:r>
            <w:r>
              <w:rPr>
                <w:rFonts w:ascii="Arial" w:hAnsi="Arial" w:eastAsia="Arial"/>
                <w:b w:val="0"/>
                <w:i w:val="0"/>
                <w:color w:val="2F363B"/>
                <w:sz w:val="16"/>
              </w:rPr>
              <w:t>____________________________</w:t>
            </w:r>
          </w:p>
        </w:tc>
      </w:tr>
      <w:tr>
        <w:tc>
          <w:tcPr>
            <w:tcW w:type="dxa" w:w="5112"/>
            <w:tcMar>
              <w:top w:w="55" w:type="dxa"/>
              <w:start w:w="60" w:type="dxa"/>
              <w:bottom w:w="55" w:type="dxa"/>
              <w:end w:w="60" w:type="dxa"/>
            </w:tcMar>
            <w:shd w:fill="F4F7F7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 xml:space="preserve">Instituição / órgão: </w:t>
            </w:r>
            <w:r>
              <w:rPr>
                <w:rFonts w:ascii="Arial" w:hAnsi="Arial" w:eastAsia="Arial"/>
                <w:b w:val="0"/>
                <w:i w:val="0"/>
                <w:color w:val="2F363B"/>
                <w:sz w:val="16"/>
              </w:rPr>
              <w:t>____________________________</w:t>
            </w:r>
          </w:p>
        </w:tc>
        <w:tc>
          <w:tcPr>
            <w:tcW w:type="dxa" w:w="5112"/>
            <w:tcMar>
              <w:top w:w="55" w:type="dxa"/>
              <w:start w:w="60" w:type="dxa"/>
              <w:bottom w:w="55" w:type="dxa"/>
              <w:end w:w="60" w:type="dxa"/>
            </w:tcMar>
            <w:shd w:fill="F4F7F7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 xml:space="preserve">Telefone / WhatsApp: </w:t>
            </w:r>
            <w:r>
              <w:rPr>
                <w:rFonts w:ascii="Arial" w:hAnsi="Arial" w:eastAsia="Arial"/>
                <w:b w:val="0"/>
                <w:i w:val="0"/>
                <w:color w:val="2F363B"/>
                <w:sz w:val="16"/>
              </w:rPr>
              <w:t>____________________________</w:t>
            </w:r>
          </w:p>
        </w:tc>
      </w:tr>
    </w:tbl>
    <w:p>
      <w:pPr>
        <w:spacing w:before="80" w:after="40"/>
      </w:pPr>
      <w:r>
        <w:rPr>
          <w:rFonts w:ascii="Arial" w:hAnsi="Arial" w:eastAsia="Arial"/>
          <w:b/>
          <w:i w:val="0"/>
          <w:color w:val="22365D"/>
          <w:sz w:val="16"/>
        </w:rPr>
        <w:t>Assinale apenas uma opção por faixa de horário.</w:t>
      </w:r>
      <w:r>
        <w:rPr>
          <w:rFonts w:ascii="Arial" w:hAnsi="Arial" w:eastAsia="Arial"/>
          <w:b w:val="0"/>
          <w:i w:val="0"/>
          <w:color w:val="2F363B"/>
          <w:sz w:val="15"/>
        </w:rPr>
        <w:t xml:space="preserve"> Minicursos simultâneos não podem ser selecionados em conjunto.</w:t>
      </w:r>
    </w:p>
    <w:p>
      <w:pPr>
        <w:spacing w:before="20" w:after="40"/>
      </w:pPr>
      <w:r>
        <w:rPr>
          <w:rFonts w:ascii="Arial" w:hAnsi="Arial" w:eastAsia="Arial"/>
          <w:b/>
          <w:i w:val="0"/>
          <w:color w:val="B36F10"/>
          <w:sz w:val="18"/>
        </w:rPr>
        <w:t>MANHÃ  •  9h às 12h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9EADB5"/>
          <w:left w:val="single" w:sz="7" w:color="9EADB5"/>
          <w:bottom w:val="single" w:sz="7" w:color="9EADB5"/>
          <w:right w:val="single" w:sz="7" w:color="9EADB5"/>
          <w:insideH w:val="single" w:sz="7" w:color="9EADB5"/>
          <w:insideV w:val="single" w:sz="7" w:color="9EADB5"/>
        </w:tblBorders>
      </w:tblPr>
      <w:tblGrid>
        <w:gridCol w:w="605"/>
        <w:gridCol w:w="1267"/>
        <w:gridCol w:w="7056"/>
        <w:gridCol w:w="1152"/>
      </w:tblGrid>
      <w:tr>
        <w:tc>
          <w:tcPr>
            <w:tcW w:type="dxa" w:w="605"/>
            <w:shd w:fill="22365D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1267"/>
            <w:shd w:fill="22365D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Horário</w:t>
            </w:r>
          </w:p>
        </w:tc>
        <w:tc>
          <w:tcPr>
            <w:tcW w:type="dxa" w:w="7056"/>
            <w:shd w:fill="22365D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Minicurso / docente</w:t>
            </w:r>
          </w:p>
        </w:tc>
        <w:tc>
          <w:tcPr>
            <w:tcW w:type="dxa" w:w="1152"/>
            <w:shd w:fill="22365D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Sala</w:t>
            </w:r>
          </w:p>
        </w:tc>
      </w:tr>
      <w:tr>
        <w:trPr>
          <w:trHeight w:val="706" w:hRule="atLeast"/>
        </w:trPr>
        <w:tc>
          <w:tcPr>
            <w:tcW w:type="dxa" w:w="605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2365D"/>
                <w:sz w:val="30"/>
              </w:rPr>
              <w:t>☐</w:t>
            </w:r>
          </w:p>
        </w:tc>
        <w:tc>
          <w:tcPr>
            <w:tcW w:type="dxa" w:w="1267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F363B"/>
                <w:sz w:val="16"/>
              </w:rPr>
              <w:t>9h–10h</w:t>
            </w:r>
          </w:p>
        </w:tc>
        <w:tc>
          <w:tcPr>
            <w:tcW w:type="dxa" w:w="7056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 w:eastAsia="Arial"/>
                <w:b/>
                <w:i w:val="0"/>
                <w:color w:val="22365D"/>
                <w:sz w:val="16"/>
              </w:rPr>
              <w:t>Equoterapia e inclusão.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/>
                <w:color w:val="2F363B"/>
                <w:sz w:val="14"/>
              </w:rPr>
              <w:t>Profa. Msc. Maria Roberta Dias Veneziani</w:t>
            </w:r>
          </w:p>
        </w:tc>
        <w:tc>
          <w:tcPr>
            <w:tcW w:type="dxa" w:w="1152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>Sala 1</w:t>
            </w:r>
          </w:p>
        </w:tc>
      </w:tr>
      <w:tr>
        <w:trPr>
          <w:trHeight w:val="706" w:hRule="atLeast"/>
        </w:trPr>
        <w:tc>
          <w:tcPr>
            <w:tcW w:type="dxa" w:w="605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2365D"/>
                <w:sz w:val="30"/>
              </w:rPr>
              <w:t>☐</w:t>
            </w:r>
          </w:p>
        </w:tc>
        <w:tc>
          <w:tcPr>
            <w:tcW w:type="dxa" w:w="1267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F363B"/>
                <w:sz w:val="16"/>
              </w:rPr>
              <w:t>9h–10h</w:t>
            </w:r>
          </w:p>
        </w:tc>
        <w:tc>
          <w:tcPr>
            <w:tcW w:type="dxa" w:w="7056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 w:eastAsia="Arial"/>
                <w:b/>
                <w:i w:val="0"/>
                <w:color w:val="22365D"/>
                <w:sz w:val="16"/>
              </w:rPr>
              <w:t>Da pesquisa ao esporte adaptativo: evidências clínicas e pré-clínicas da fisioterapia na lesão medular para autonomia e inclusão.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/>
                <w:color w:val="2F363B"/>
                <w:sz w:val="14"/>
              </w:rPr>
              <w:t>Prof. Dr. Mario Oliveira Lima</w:t>
            </w:r>
          </w:p>
        </w:tc>
        <w:tc>
          <w:tcPr>
            <w:tcW w:type="dxa" w:w="1152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>Sala 2</w:t>
            </w:r>
          </w:p>
        </w:tc>
      </w:tr>
      <w:tr>
        <w:trPr>
          <w:trHeight w:val="706" w:hRule="atLeast"/>
        </w:trPr>
        <w:tc>
          <w:tcPr>
            <w:tcW w:type="dxa" w:w="605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2365D"/>
                <w:sz w:val="30"/>
              </w:rPr>
              <w:t>☐</w:t>
            </w:r>
          </w:p>
        </w:tc>
        <w:tc>
          <w:tcPr>
            <w:tcW w:type="dxa" w:w="1267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F363B"/>
                <w:sz w:val="16"/>
              </w:rPr>
              <w:t>10h–11h</w:t>
            </w:r>
          </w:p>
        </w:tc>
        <w:tc>
          <w:tcPr>
            <w:tcW w:type="dxa" w:w="7056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 w:eastAsia="Arial"/>
                <w:b/>
                <w:i w:val="0"/>
                <w:color w:val="22365D"/>
                <w:sz w:val="16"/>
              </w:rPr>
              <w:t>Transtorno do Espectro do Autismo (TEA): avaliação funcional, apoios e inclusão ao longo do ciclo de vida.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/>
                <w:color w:val="2F363B"/>
                <w:sz w:val="14"/>
              </w:rPr>
              <w:t>Dr. Felipe Salles</w:t>
            </w:r>
          </w:p>
        </w:tc>
        <w:tc>
          <w:tcPr>
            <w:tcW w:type="dxa" w:w="1152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>Sala 1</w:t>
            </w:r>
          </w:p>
        </w:tc>
      </w:tr>
      <w:tr>
        <w:trPr>
          <w:trHeight w:val="706" w:hRule="atLeast"/>
        </w:trPr>
        <w:tc>
          <w:tcPr>
            <w:tcW w:type="dxa" w:w="605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2365D"/>
                <w:sz w:val="30"/>
              </w:rPr>
              <w:t>☐</w:t>
            </w:r>
          </w:p>
        </w:tc>
        <w:tc>
          <w:tcPr>
            <w:tcW w:type="dxa" w:w="1267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F363B"/>
                <w:sz w:val="16"/>
              </w:rPr>
              <w:t>10h–11h</w:t>
            </w:r>
          </w:p>
        </w:tc>
        <w:tc>
          <w:tcPr>
            <w:tcW w:type="dxa" w:w="7056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 w:eastAsia="Arial"/>
                <w:b/>
                <w:i w:val="0"/>
                <w:color w:val="22365D"/>
                <w:sz w:val="16"/>
              </w:rPr>
              <w:t>Tecnologias assistivas e soluções digitais aplicadas à autonomia, saúde e inclusão produtiva.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/>
                <w:color w:val="2F363B"/>
                <w:sz w:val="14"/>
              </w:rPr>
              <w:t>Prof. Dr. Paulo Capel</w:t>
            </w:r>
          </w:p>
        </w:tc>
        <w:tc>
          <w:tcPr>
            <w:tcW w:type="dxa" w:w="1152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>Sala 2</w:t>
            </w:r>
          </w:p>
        </w:tc>
      </w:tr>
      <w:tr>
        <w:trPr>
          <w:trHeight w:val="706" w:hRule="atLeast"/>
        </w:trPr>
        <w:tc>
          <w:tcPr>
            <w:tcW w:type="dxa" w:w="605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2365D"/>
                <w:sz w:val="30"/>
              </w:rPr>
              <w:t>☐</w:t>
            </w:r>
          </w:p>
        </w:tc>
        <w:tc>
          <w:tcPr>
            <w:tcW w:type="dxa" w:w="1267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F363B"/>
                <w:sz w:val="16"/>
              </w:rPr>
              <w:t>11h–12h</w:t>
            </w:r>
          </w:p>
        </w:tc>
        <w:tc>
          <w:tcPr>
            <w:tcW w:type="dxa" w:w="7056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 w:eastAsia="Arial"/>
                <w:b/>
                <w:i w:val="0"/>
                <w:color w:val="22365D"/>
                <w:sz w:val="16"/>
              </w:rPr>
              <w:t>Direitos da Pessoa com Deficiência, acessibilidade e políticas públicas: interfaces entre justiça, saúde e assistência social.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/>
                <w:color w:val="2F363B"/>
                <w:sz w:val="14"/>
              </w:rPr>
              <w:t>Dra. Mônica Rodrigues da Silva</w:t>
            </w:r>
          </w:p>
        </w:tc>
        <w:tc>
          <w:tcPr>
            <w:tcW w:type="dxa" w:w="1152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>Sala 1</w:t>
            </w:r>
          </w:p>
        </w:tc>
      </w:tr>
      <w:tr>
        <w:trPr>
          <w:trHeight w:val="706" w:hRule="atLeast"/>
        </w:trPr>
        <w:tc>
          <w:tcPr>
            <w:tcW w:type="dxa" w:w="605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2365D"/>
                <w:sz w:val="30"/>
              </w:rPr>
              <w:t>☐</w:t>
            </w:r>
          </w:p>
        </w:tc>
        <w:tc>
          <w:tcPr>
            <w:tcW w:type="dxa" w:w="1267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F363B"/>
                <w:sz w:val="16"/>
              </w:rPr>
              <w:t>11h–12h</w:t>
            </w:r>
          </w:p>
        </w:tc>
        <w:tc>
          <w:tcPr>
            <w:tcW w:type="dxa" w:w="7056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 w:eastAsia="Arial"/>
                <w:b/>
                <w:i w:val="0"/>
                <w:color w:val="22365D"/>
                <w:sz w:val="16"/>
              </w:rPr>
              <w:t>Empregabilidade para Pessoas com Deficiência.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/>
                <w:color w:val="2F363B"/>
                <w:sz w:val="14"/>
              </w:rPr>
              <w:t>Dra. Aracélia Costa</w:t>
            </w:r>
          </w:p>
        </w:tc>
        <w:tc>
          <w:tcPr>
            <w:tcW w:type="dxa" w:w="1152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>Sala 2</w:t>
            </w:r>
          </w:p>
        </w:tc>
      </w:tr>
    </w:tbl>
    <w:p>
      <w:pPr>
        <w:spacing w:before="200" w:after="160"/>
        <w:jc w:val="center"/>
      </w:pPr>
      <w:r>
        <w:rPr>
          <w:rFonts w:ascii="Arial" w:hAnsi="Arial" w:eastAsia="Arial"/>
          <w:b/>
          <w:i w:val="0"/>
          <w:color w:val="B36F10"/>
          <w:sz w:val="18"/>
        </w:rPr>
        <w:t>TARDE  •  14h às 17h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9EADB5"/>
          <w:left w:val="single" w:sz="7" w:color="9EADB5"/>
          <w:bottom w:val="single" w:sz="7" w:color="9EADB5"/>
          <w:right w:val="single" w:sz="7" w:color="9EADB5"/>
          <w:insideH w:val="single" w:sz="7" w:color="9EADB5"/>
          <w:insideV w:val="single" w:sz="7" w:color="9EADB5"/>
        </w:tblBorders>
      </w:tblPr>
      <w:tblGrid>
        <w:gridCol w:w="605"/>
        <w:gridCol w:w="1267"/>
        <w:gridCol w:w="7056"/>
        <w:gridCol w:w="1152"/>
      </w:tblGrid>
      <w:tr>
        <w:tc>
          <w:tcPr>
            <w:tcW w:type="dxa" w:w="605"/>
            <w:shd w:fill="22365D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1267"/>
            <w:shd w:fill="22365D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Horário</w:t>
            </w:r>
          </w:p>
        </w:tc>
        <w:tc>
          <w:tcPr>
            <w:tcW w:type="dxa" w:w="7056"/>
            <w:shd w:fill="22365D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Minicurso / docente</w:t>
            </w:r>
          </w:p>
        </w:tc>
        <w:tc>
          <w:tcPr>
            <w:tcW w:type="dxa" w:w="1152"/>
            <w:shd w:fill="22365D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Sala</w:t>
            </w:r>
          </w:p>
        </w:tc>
      </w:tr>
      <w:tr>
        <w:trPr>
          <w:trHeight w:val="706" w:hRule="atLeast"/>
        </w:trPr>
        <w:tc>
          <w:tcPr>
            <w:tcW w:type="dxa" w:w="605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2365D"/>
                <w:sz w:val="30"/>
              </w:rPr>
              <w:t>☐</w:t>
            </w:r>
          </w:p>
        </w:tc>
        <w:tc>
          <w:tcPr>
            <w:tcW w:type="dxa" w:w="1267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F363B"/>
                <w:sz w:val="16"/>
              </w:rPr>
              <w:t>14h–15h</w:t>
            </w:r>
          </w:p>
        </w:tc>
        <w:tc>
          <w:tcPr>
            <w:tcW w:type="dxa" w:w="7056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 w:eastAsia="Arial"/>
                <w:b/>
                <w:i w:val="0"/>
                <w:color w:val="22365D"/>
                <w:sz w:val="16"/>
              </w:rPr>
              <w:t>Comunicação com Pessoas Surdas: Libras e Acessibilidade Comunicacional.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/>
                <w:color w:val="2F363B"/>
                <w:sz w:val="14"/>
              </w:rPr>
              <w:t>Prof. Dr. Edilson de Andrade</w:t>
            </w:r>
          </w:p>
        </w:tc>
        <w:tc>
          <w:tcPr>
            <w:tcW w:type="dxa" w:w="1152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>Sala 1</w:t>
            </w:r>
          </w:p>
        </w:tc>
      </w:tr>
      <w:tr>
        <w:trPr>
          <w:trHeight w:val="706" w:hRule="atLeast"/>
        </w:trPr>
        <w:tc>
          <w:tcPr>
            <w:tcW w:type="dxa" w:w="605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2365D"/>
                <w:sz w:val="30"/>
              </w:rPr>
              <w:t>☐</w:t>
            </w:r>
          </w:p>
        </w:tc>
        <w:tc>
          <w:tcPr>
            <w:tcW w:type="dxa" w:w="1267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F363B"/>
                <w:sz w:val="16"/>
              </w:rPr>
              <w:t>14h–15h</w:t>
            </w:r>
          </w:p>
        </w:tc>
        <w:tc>
          <w:tcPr>
            <w:tcW w:type="dxa" w:w="7056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 w:eastAsia="Arial"/>
                <w:b/>
                <w:i w:val="0"/>
                <w:color w:val="22365D"/>
                <w:sz w:val="16"/>
              </w:rPr>
              <w:t>Esportes, saúde e inclusão: práticas adaptadas e políticas públicas para a pessoa com deficiência.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/>
                <w:color w:val="2F363B"/>
                <w:sz w:val="14"/>
              </w:rPr>
              <w:t>Dra. Geiza Aparecida Batista da Silva</w:t>
            </w:r>
          </w:p>
        </w:tc>
        <w:tc>
          <w:tcPr>
            <w:tcW w:type="dxa" w:w="1152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>Sala 2</w:t>
            </w:r>
          </w:p>
        </w:tc>
      </w:tr>
      <w:tr>
        <w:trPr>
          <w:trHeight w:val="706" w:hRule="atLeast"/>
        </w:trPr>
        <w:tc>
          <w:tcPr>
            <w:tcW w:type="dxa" w:w="605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2365D"/>
                <w:sz w:val="30"/>
              </w:rPr>
              <w:t>☐</w:t>
            </w:r>
          </w:p>
        </w:tc>
        <w:tc>
          <w:tcPr>
            <w:tcW w:type="dxa" w:w="1267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F363B"/>
                <w:sz w:val="16"/>
              </w:rPr>
              <w:t>15h–16h</w:t>
            </w:r>
          </w:p>
        </w:tc>
        <w:tc>
          <w:tcPr>
            <w:tcW w:type="dxa" w:w="7056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 w:eastAsia="Arial"/>
                <w:b/>
                <w:i w:val="0"/>
                <w:color w:val="22365D"/>
                <w:sz w:val="16"/>
              </w:rPr>
              <w:t>Abordagem e Recursos Educacionais, Acessibilidade e Tecnologia Assistiva: práticas para a Educação Inclusiva.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/>
                <w:color w:val="2F363B"/>
                <w:sz w:val="14"/>
              </w:rPr>
              <w:t>Profa. Dra. Elisa Tomoe Moriya Schlunzen • Profa. Dra. Cícera Aparecida Lima Malheiro • Prof. Dr. Klaus Schlünzen Junior</w:t>
            </w:r>
          </w:p>
        </w:tc>
        <w:tc>
          <w:tcPr>
            <w:tcW w:type="dxa" w:w="1152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>Sala 1</w:t>
            </w:r>
          </w:p>
        </w:tc>
      </w:tr>
      <w:tr>
        <w:trPr>
          <w:trHeight w:val="706" w:hRule="atLeast"/>
        </w:trPr>
        <w:tc>
          <w:tcPr>
            <w:tcW w:type="dxa" w:w="605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2365D"/>
                <w:sz w:val="30"/>
              </w:rPr>
              <w:t>☐</w:t>
            </w:r>
          </w:p>
        </w:tc>
        <w:tc>
          <w:tcPr>
            <w:tcW w:type="dxa" w:w="1267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F363B"/>
                <w:sz w:val="16"/>
              </w:rPr>
              <w:t>15h–16h</w:t>
            </w:r>
          </w:p>
        </w:tc>
        <w:tc>
          <w:tcPr>
            <w:tcW w:type="dxa" w:w="7056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 w:eastAsia="Arial"/>
                <w:b/>
                <w:i w:val="0"/>
                <w:color w:val="22365D"/>
                <w:sz w:val="16"/>
              </w:rPr>
              <w:t>Tecnologia, inovação e políticas públicas: caminhos para a autonomia da Pessoa com Deficiência.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/>
                <w:color w:val="2F363B"/>
                <w:sz w:val="14"/>
              </w:rPr>
              <w:t>Dr. Marcos da Costa</w:t>
            </w:r>
          </w:p>
        </w:tc>
        <w:tc>
          <w:tcPr>
            <w:tcW w:type="dxa" w:w="1152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>Sala 2</w:t>
            </w:r>
          </w:p>
        </w:tc>
      </w:tr>
      <w:tr>
        <w:trPr>
          <w:trHeight w:val="706" w:hRule="atLeast"/>
        </w:trPr>
        <w:tc>
          <w:tcPr>
            <w:tcW w:type="dxa" w:w="605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2365D"/>
                <w:sz w:val="30"/>
              </w:rPr>
              <w:t>☐</w:t>
            </w:r>
          </w:p>
        </w:tc>
        <w:tc>
          <w:tcPr>
            <w:tcW w:type="dxa" w:w="1267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F363B"/>
                <w:sz w:val="16"/>
              </w:rPr>
              <w:t>16h–17h</w:t>
            </w:r>
          </w:p>
        </w:tc>
        <w:tc>
          <w:tcPr>
            <w:tcW w:type="dxa" w:w="7056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 w:eastAsia="Arial"/>
                <w:b/>
                <w:i w:val="0"/>
                <w:color w:val="22365D"/>
                <w:sz w:val="16"/>
              </w:rPr>
              <w:t>Língua Brasileira de Sinais e Inteligência Artificial: desafios e oportunidades para a inclusão.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/>
                <w:color w:val="2F363B"/>
                <w:sz w:val="14"/>
              </w:rPr>
              <w:t>Prof. Dr. José Mario de Martino</w:t>
            </w:r>
          </w:p>
        </w:tc>
        <w:tc>
          <w:tcPr>
            <w:tcW w:type="dxa" w:w="1152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>Sala 1</w:t>
            </w:r>
          </w:p>
        </w:tc>
      </w:tr>
      <w:tr>
        <w:trPr>
          <w:trHeight w:val="706" w:hRule="atLeast"/>
        </w:trPr>
        <w:tc>
          <w:tcPr>
            <w:tcW w:type="dxa" w:w="605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2365D"/>
                <w:sz w:val="30"/>
              </w:rPr>
              <w:t>☐</w:t>
            </w:r>
          </w:p>
        </w:tc>
        <w:tc>
          <w:tcPr>
            <w:tcW w:type="dxa" w:w="1267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F363B"/>
                <w:sz w:val="16"/>
              </w:rPr>
              <w:t>16h–17h</w:t>
            </w:r>
          </w:p>
        </w:tc>
        <w:tc>
          <w:tcPr>
            <w:tcW w:type="dxa" w:w="7056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 w:eastAsia="Arial"/>
                <w:b/>
                <w:i w:val="0"/>
                <w:color w:val="22365D"/>
                <w:sz w:val="16"/>
              </w:rPr>
              <w:t>Projetos e Iniciativas inclusivas.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/>
                <w:color w:val="2F363B"/>
                <w:sz w:val="14"/>
              </w:rPr>
              <w:t>Dra. Mônica Neves Rocha Arten • Dra. Melissa Vithoria Caetano • Thaís Barreto Pereira</w:t>
            </w:r>
          </w:p>
        </w:tc>
        <w:tc>
          <w:tcPr>
            <w:tcW w:type="dxa" w:w="1152"/>
            <w:tcMar>
              <w:top w:w="52" w:type="dxa"/>
              <w:start w:w="55" w:type="dxa"/>
              <w:bottom w:w="52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276C59"/>
                <w:sz w:val="16"/>
              </w:rPr>
              <w:t>Sala 2</w:t>
            </w:r>
          </w:p>
        </w:tc>
      </w:tr>
    </w:tbl>
    <w:p>
      <w:pPr>
        <w:spacing w:before="120" w:after="0"/>
        <w:jc w:val="center"/>
      </w:pPr>
      <w:r>
        <w:rPr>
          <w:rFonts w:ascii="Arial" w:hAnsi="Arial" w:eastAsia="Arial"/>
          <w:b w:val="0"/>
          <w:i w:val="0"/>
          <w:color w:val="22365D"/>
          <w:sz w:val="16"/>
        </w:rPr>
        <w:t xml:space="preserve">Após preencher, enviar para o e-mail: </w:t>
      </w:r>
      <w:r>
        <w:rPr>
          <w:rFonts w:ascii="Arial" w:hAnsi="Arial" w:eastAsia="Arial"/>
          <w:b/>
          <w:i w:val="0"/>
          <w:color w:val="276C59"/>
          <w:sz w:val="16"/>
        </w:rPr>
        <w:t>centrodeestudos@imesc.sp.gov.br</w:t>
      </w:r>
    </w:p>
    <w:p>
      <w:pPr>
        <w:spacing w:before="0" w:after="0"/>
        <w:jc w:val="center"/>
      </w:pPr>
      <w:r>
        <w:rPr>
          <w:rFonts w:ascii="Arial" w:hAnsi="Arial" w:eastAsia="Arial"/>
          <w:b w:val="0"/>
          <w:i w:val="0"/>
          <w:color w:val="22365D"/>
          <w:sz w:val="16"/>
        </w:rPr>
        <w:t xml:space="preserve">Assunto: </w:t>
      </w:r>
      <w:r>
        <w:rPr>
          <w:rFonts w:ascii="Arial" w:hAnsi="Arial" w:eastAsia="Arial"/>
          <w:b/>
          <w:i w:val="0"/>
          <w:color w:val="B36F10"/>
          <w:sz w:val="16"/>
        </w:rPr>
        <w:t>INSCRIÇÃO MINICURSOS</w:t>
      </w:r>
    </w:p>
    <w:sectPr w:rsidR="00FC693F" w:rsidRPr="0006063C" w:rsidSect="00034616">
      <w:pgSz w:w="11909" w:h="16834"/>
      <w:pgMar w:top="230" w:right="461" w:bottom="230" w:left="4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